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0"/>
        </w:rPr>
        <w:t xml:space="preserve">Talking Kites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b w:val="1"/>
          <w:rtl w:val="1"/>
        </w:rPr>
        <w:t xml:space="preserve">כניסה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לפרויקט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העולמי</w:t>
      </w:r>
    </w:p>
    <w:p w:rsidR="00000000" w:rsidDel="00000000" w:rsidP="00000000" w:rsidRDefault="00000000" w:rsidRPr="00000000">
      <w:pPr>
        <w:contextualSpacing w:val="0"/>
        <w:jc w:val="right"/>
      </w:pPr>
      <w:hyperlink r:id="rId5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https://iearn.org/cc/space-2/group-95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בעקבותיו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והשפעת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התלמידים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עפיפונים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מקשטים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21 </w:t>
      </w:r>
      <w:r w:rsidDel="00000000" w:rsidR="00000000" w:rsidRPr="00000000">
        <w:rPr>
          <w:rtl w:val="1"/>
        </w:rPr>
        <w:t xml:space="preserve">למרץ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השיוויון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העולמי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2457450</wp:posOffset>
            </wp:positionH>
            <wp:positionV relativeFrom="paragraph">
              <wp:posOffset>483870</wp:posOffset>
            </wp:positionV>
            <wp:extent cx="1409700" cy="1600200"/>
            <wp:effectExtent b="0" l="0" r="0" t="0"/>
            <wp:wrapSquare wrapText="bothSides" distB="0" distT="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בחום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-695324</wp:posOffset>
            </wp:positionH>
            <wp:positionV relativeFrom="paragraph">
              <wp:posOffset>8890</wp:posOffset>
            </wp:positionV>
            <wp:extent cx="3457575" cy="3238500"/>
            <wp:effectExtent b="0" l="0" r="0" t="0"/>
            <wp:wrapSquare wrapText="bothSides" distB="0" distT="0" distL="114300" distR="11430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3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iearn.org/cc/space-2/group-95" TargetMode="External"/><Relationship Id="rId6" Type="http://schemas.openxmlformats.org/officeDocument/2006/relationships/hyperlink" Target="https://iearn.org/cc/space-2/group-95" TargetMode="External"/><Relationship Id="rId7" Type="http://schemas.openxmlformats.org/officeDocument/2006/relationships/image" Target="media/image02.png"/><Relationship Id="rId8" Type="http://schemas.openxmlformats.org/officeDocument/2006/relationships/image" Target="media/image03.jpg"/></Relationships>
</file>